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000000"/>
          <w:sz w:val="40"/>
          <w:szCs w:val="40"/>
        </w:rPr>
      </w:pPr>
      <w:bookmarkStart w:id="0" w:name="_GoBack"/>
      <w:bookmarkEnd w:id="0"/>
      <w:r>
        <w:rPr>
          <w:noProof/>
          <w:lang w:eastAsia="nb-NO"/>
        </w:rPr>
        <w:drawing>
          <wp:inline distT="0" distB="0" distL="0" distR="0">
            <wp:extent cx="1503776" cy="802079"/>
            <wp:effectExtent l="0" t="0" r="1270" b="0"/>
            <wp:docPr id="1" name="Bilde 1" descr="Dovre kommune_logo_cmyk_svart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vre kommune_logo_cmyk_svart tek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854" cy="80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000000"/>
          <w:sz w:val="40"/>
          <w:szCs w:val="40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000000"/>
          <w:sz w:val="40"/>
          <w:szCs w:val="40"/>
        </w:rPr>
      </w:pPr>
      <w:r w:rsidRPr="001D7314">
        <w:rPr>
          <w:rFonts w:asciiTheme="majorHAnsi" w:hAnsiTheme="majorHAnsi" w:cs="SourceSansPro-Regular"/>
          <w:color w:val="000000"/>
          <w:sz w:val="40"/>
          <w:szCs w:val="40"/>
        </w:rPr>
        <w:t xml:space="preserve">Forskrift for tildeling av langtidsopphold i sykehjem 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000000"/>
          <w:sz w:val="40"/>
          <w:szCs w:val="40"/>
        </w:rPr>
      </w:pPr>
      <w:r w:rsidRPr="001D7314">
        <w:rPr>
          <w:rFonts w:asciiTheme="majorHAnsi" w:hAnsiTheme="majorHAnsi" w:cs="SourceSansPro-Regular"/>
          <w:color w:val="000000"/>
          <w:sz w:val="40"/>
          <w:szCs w:val="40"/>
        </w:rPr>
        <w:t xml:space="preserve">i </w:t>
      </w:r>
      <w:r w:rsidRPr="001D7314">
        <w:rPr>
          <w:rFonts w:asciiTheme="majorHAnsi" w:hAnsiTheme="majorHAnsi" w:cs="Gautami"/>
          <w:color w:val="000000"/>
          <w:sz w:val="40"/>
          <w:szCs w:val="40"/>
        </w:rPr>
        <w:t xml:space="preserve">Dovre </w:t>
      </w:r>
      <w:r w:rsidRPr="001D7314">
        <w:rPr>
          <w:rFonts w:asciiTheme="majorHAnsi" w:hAnsiTheme="majorHAnsi" w:cs="SourceSansPro-Regular"/>
          <w:color w:val="000000"/>
          <w:sz w:val="40"/>
          <w:szCs w:val="40"/>
        </w:rPr>
        <w:t>kommune</w:t>
      </w:r>
      <w:r w:rsidR="004B133A">
        <w:rPr>
          <w:rFonts w:asciiTheme="majorHAnsi" w:hAnsiTheme="majorHAnsi" w:cs="SourceSansPro-Regular"/>
          <w:color w:val="000000"/>
          <w:sz w:val="40"/>
          <w:szCs w:val="40"/>
        </w:rPr>
        <w:t>.</w:t>
      </w:r>
    </w:p>
    <w:p w:rsid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  <w:r w:rsidRPr="001D7314">
        <w:rPr>
          <w:rFonts w:asciiTheme="majorHAnsi" w:hAnsiTheme="majorHAnsi" w:cs="SourceSansPro-Bold"/>
          <w:b/>
          <w:bCs/>
          <w:color w:val="434343"/>
          <w:sz w:val="25"/>
          <w:szCs w:val="25"/>
        </w:rPr>
        <w:t>Hjemmel: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Vedtatt i kommunestyre</w:t>
      </w:r>
      <w:r>
        <w:rPr>
          <w:rFonts w:asciiTheme="majorHAnsi" w:hAnsiTheme="majorHAnsi" w:cs="SourceSansPro-Regular"/>
          <w:color w:val="434343"/>
          <w:sz w:val="24"/>
          <w:szCs w:val="24"/>
        </w:rPr>
        <w:t xml:space="preserve">t den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xx.xx.2017 med hjemmel i lov 24. juni 2011 nr. 30 om kommunale</w:t>
      </w:r>
      <w:r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helse- og omsorgstjenester m.m. (helse- og omsorgstjenesteloven) § 3-2-a, andre ledd, jf. lov 2. juli</w:t>
      </w:r>
      <w:r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1999 nr. 63 om pasient- og brukerrettigheter (pasient- og brukerrettighetsloven) § 2-1 e.</w:t>
      </w:r>
    </w:p>
    <w:p w:rsid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  <w:r w:rsidRPr="001D7314">
        <w:rPr>
          <w:rFonts w:asciiTheme="majorHAnsi" w:hAnsiTheme="majorHAnsi" w:cs="SourceSansPro-Bold"/>
          <w:b/>
          <w:bCs/>
          <w:color w:val="434343"/>
          <w:sz w:val="25"/>
          <w:szCs w:val="25"/>
        </w:rPr>
        <w:t>§ 1. Formål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Forskriftens formål er å sikre at pasienten får nødvendige og forsvarlige helse og</w:t>
      </w:r>
      <w:r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omsorgstjenester, jf. helse- og omsorgstjenesteloven § 3-2 a, i samsvar med rettighetsbestemmelse i</w:t>
      </w:r>
      <w:r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pasient- og brukerrettighetsloven § 2-1 e.</w:t>
      </w:r>
    </w:p>
    <w:p w:rsid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Forskriften skal bidra til å klargjøre kriterier for tildeling av langtidsopphold </w:t>
      </w:r>
      <w:r w:rsidR="00904101">
        <w:rPr>
          <w:rFonts w:asciiTheme="majorHAnsi" w:hAnsiTheme="majorHAnsi" w:cs="SourceSansPro-Regular"/>
          <w:color w:val="434343"/>
          <w:sz w:val="24"/>
          <w:szCs w:val="24"/>
        </w:rPr>
        <w:t>ved Fredheim omsorgssenter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, samt beskrive hvordan pasienten kan ivaretas i ventetiden.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  <w:r w:rsidRPr="001D7314">
        <w:rPr>
          <w:rFonts w:asciiTheme="majorHAnsi" w:hAnsiTheme="majorHAnsi" w:cs="SourceSansPro-Bold"/>
          <w:b/>
          <w:bCs/>
          <w:color w:val="434343"/>
          <w:sz w:val="25"/>
          <w:szCs w:val="25"/>
        </w:rPr>
        <w:t>§ 2. Virkeområde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Forskriften gjelder alle som bor eller oppholder seg i </w:t>
      </w:r>
      <w:r>
        <w:rPr>
          <w:rFonts w:asciiTheme="majorHAnsi" w:hAnsiTheme="majorHAnsi" w:cs="Gautami"/>
          <w:color w:val="434343"/>
          <w:sz w:val="24"/>
          <w:szCs w:val="24"/>
        </w:rPr>
        <w:t xml:space="preserve">Dovre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kommune, og som har et varig,</w:t>
      </w:r>
    </w:p>
    <w:p w:rsid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omfattende, døgnkontinuerlig pleie- og omsorgsbehov som ikke kan oppfylles tilstrekkelig i eget</w:t>
      </w:r>
      <w:r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hjem eller annen tilpasset bolig. Langtidsopphold gis ved kommunens sykehjem</w:t>
      </w:r>
      <w:r>
        <w:rPr>
          <w:rFonts w:asciiTheme="majorHAnsi" w:hAnsiTheme="majorHAnsi" w:cs="SourceSansPro-Regular"/>
          <w:color w:val="434343"/>
          <w:sz w:val="24"/>
          <w:szCs w:val="24"/>
        </w:rPr>
        <w:t>, Fredheim omsorgssenter.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  <w:r w:rsidRPr="001D7314">
        <w:rPr>
          <w:rFonts w:asciiTheme="majorHAnsi" w:hAnsiTheme="majorHAnsi" w:cs="SourceSansPro-Bold"/>
          <w:b/>
          <w:bCs/>
          <w:color w:val="434343"/>
          <w:sz w:val="25"/>
          <w:szCs w:val="25"/>
        </w:rPr>
        <w:t>§ 3. Grunnlag for vurdering og tildeling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>
        <w:rPr>
          <w:rFonts w:asciiTheme="majorHAnsi" w:hAnsiTheme="majorHAnsi" w:cs="Gautami"/>
          <w:color w:val="434343"/>
          <w:sz w:val="24"/>
          <w:szCs w:val="24"/>
        </w:rPr>
        <w:t xml:space="preserve">Dovre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kommune bruker lavest effektive omsorgsnivå (LEON)/ beste effektive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omsorgsnivå (BEON) som prinsipp ved tildeling av tjenester og tiltak i omsorgstrappa.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Omsorgstrappa har tjenester på ulike nivå der økende hjelpebehov møtes med økende og mer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omfattende tjenestetilbud av ulik art. Tjenester på lavere nivå skal som hovedregel være </w:t>
      </w:r>
      <w:r w:rsidR="00B70B64">
        <w:rPr>
          <w:rFonts w:asciiTheme="majorHAnsi" w:hAnsiTheme="majorHAnsi" w:cs="SourceSansPro-Regular"/>
          <w:color w:val="434343"/>
          <w:sz w:val="24"/>
          <w:szCs w:val="24"/>
        </w:rPr>
        <w:t>utprøvd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 før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tildeling av langtidsplass i sykehjem. Vurdering av behovet for helsehjelp skjer via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kartleggingsverktøyet IPLOS. IPLOS er et lovpålagt helseregister med data som beskriver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bistandsbehov og ressurser til de som søker eller mottar kommunale helse- og omsorgstjenester.</w:t>
      </w:r>
    </w:p>
    <w:p w:rsidR="001A39EA" w:rsidRDefault="001A39EA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Ved vurdering tas det hensyn til søker</w:t>
      </w:r>
      <w:r w:rsidR="00904101">
        <w:rPr>
          <w:rFonts w:asciiTheme="majorHAnsi" w:hAnsiTheme="majorHAnsi" w:cs="SourceSansPro-Regular"/>
          <w:color w:val="434343"/>
          <w:sz w:val="24"/>
          <w:szCs w:val="24"/>
        </w:rPr>
        <w:t>en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s:</w:t>
      </w:r>
    </w:p>
    <w:p w:rsidR="001D7314" w:rsidRPr="00904101" w:rsidRDefault="00904101" w:rsidP="00904101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>
        <w:rPr>
          <w:rFonts w:asciiTheme="majorHAnsi" w:hAnsiTheme="majorHAnsi" w:cs="SourceSansPro-Regular"/>
          <w:color w:val="434343"/>
          <w:sz w:val="24"/>
          <w:szCs w:val="24"/>
        </w:rPr>
        <w:t>h</w:t>
      </w:r>
      <w:r w:rsidR="001D7314" w:rsidRPr="00904101">
        <w:rPr>
          <w:rFonts w:asciiTheme="majorHAnsi" w:hAnsiTheme="majorHAnsi" w:cs="SourceSansPro-Regular"/>
          <w:color w:val="434343"/>
          <w:sz w:val="24"/>
          <w:szCs w:val="24"/>
        </w:rPr>
        <w:t>elsetilstand</w:t>
      </w:r>
    </w:p>
    <w:p w:rsidR="001D7314" w:rsidRPr="00904101" w:rsidRDefault="00904101" w:rsidP="00904101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>
        <w:rPr>
          <w:rFonts w:asciiTheme="majorHAnsi" w:hAnsiTheme="majorHAnsi" w:cs="SourceSansPro-Regular"/>
          <w:color w:val="434343"/>
          <w:sz w:val="24"/>
          <w:szCs w:val="24"/>
        </w:rPr>
        <w:t>m</w:t>
      </w:r>
      <w:r w:rsidR="001D7314" w:rsidRPr="00904101">
        <w:rPr>
          <w:rFonts w:asciiTheme="majorHAnsi" w:hAnsiTheme="majorHAnsi" w:cs="SourceSansPro-Regular"/>
          <w:color w:val="434343"/>
          <w:sz w:val="24"/>
          <w:szCs w:val="24"/>
        </w:rPr>
        <w:t>entale tilstand</w:t>
      </w:r>
    </w:p>
    <w:p w:rsidR="001D7314" w:rsidRPr="00904101" w:rsidRDefault="00904101" w:rsidP="00904101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>
        <w:rPr>
          <w:rFonts w:asciiTheme="majorHAnsi" w:hAnsiTheme="majorHAnsi" w:cs="SourceSansPro-Regular"/>
          <w:color w:val="434343"/>
          <w:sz w:val="24"/>
          <w:szCs w:val="24"/>
        </w:rPr>
        <w:t>k</w:t>
      </w:r>
      <w:r w:rsidR="001D7314" w:rsidRPr="00904101">
        <w:rPr>
          <w:rFonts w:asciiTheme="majorHAnsi" w:hAnsiTheme="majorHAnsi" w:cs="SourceSansPro-Regular"/>
          <w:color w:val="434343"/>
          <w:sz w:val="24"/>
          <w:szCs w:val="24"/>
        </w:rPr>
        <w:t>ognitiv svikt</w:t>
      </w:r>
    </w:p>
    <w:p w:rsidR="001D7314" w:rsidRPr="00904101" w:rsidRDefault="00904101" w:rsidP="00904101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>
        <w:rPr>
          <w:rFonts w:asciiTheme="majorHAnsi" w:hAnsiTheme="majorHAnsi" w:cs="SourceSansPro-Regular"/>
          <w:color w:val="434343"/>
          <w:sz w:val="24"/>
          <w:szCs w:val="24"/>
        </w:rPr>
        <w:t>e</w:t>
      </w:r>
      <w:r w:rsidR="001D7314" w:rsidRPr="00904101">
        <w:rPr>
          <w:rFonts w:asciiTheme="majorHAnsi" w:hAnsiTheme="majorHAnsi" w:cs="SourceSansPro-Regular"/>
          <w:color w:val="434343"/>
          <w:sz w:val="24"/>
          <w:szCs w:val="24"/>
        </w:rPr>
        <w:t>vne til egenomsorg</w:t>
      </w:r>
    </w:p>
    <w:p w:rsidR="001D7314" w:rsidRPr="00904101" w:rsidRDefault="00904101" w:rsidP="00904101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>
        <w:rPr>
          <w:rFonts w:asciiTheme="majorHAnsi" w:hAnsiTheme="majorHAnsi" w:cs="SourceSansPro-Regular"/>
          <w:color w:val="434343"/>
          <w:sz w:val="24"/>
          <w:szCs w:val="24"/>
        </w:rPr>
        <w:t>b</w:t>
      </w:r>
      <w:r w:rsidR="001D7314" w:rsidRPr="00904101">
        <w:rPr>
          <w:rFonts w:asciiTheme="majorHAnsi" w:hAnsiTheme="majorHAnsi" w:cs="SourceSansPro-Regular"/>
          <w:color w:val="434343"/>
          <w:sz w:val="24"/>
          <w:szCs w:val="24"/>
        </w:rPr>
        <w:t>oforhold</w:t>
      </w:r>
    </w:p>
    <w:p w:rsidR="001D7314" w:rsidRPr="00904101" w:rsidRDefault="00904101" w:rsidP="00904101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>
        <w:rPr>
          <w:rFonts w:asciiTheme="majorHAnsi" w:hAnsiTheme="majorHAnsi" w:cs="SourceSansPro-Regular"/>
          <w:color w:val="434343"/>
          <w:sz w:val="24"/>
          <w:szCs w:val="24"/>
        </w:rPr>
        <w:t>n</w:t>
      </w:r>
      <w:r w:rsidR="001D7314" w:rsidRPr="00904101">
        <w:rPr>
          <w:rFonts w:asciiTheme="majorHAnsi" w:hAnsiTheme="majorHAnsi" w:cs="SourceSansPro-Regular"/>
          <w:color w:val="434343"/>
          <w:sz w:val="24"/>
          <w:szCs w:val="24"/>
        </w:rPr>
        <w:t>ettverk og dets omsorgsevne</w:t>
      </w:r>
    </w:p>
    <w:p w:rsidR="00904101" w:rsidRDefault="00904101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Pasienten skal medvirke ved utformingen av tjenestetilbud, jf</w:t>
      </w:r>
      <w:r w:rsidR="00904101">
        <w:rPr>
          <w:rFonts w:asciiTheme="majorHAnsi" w:hAnsiTheme="majorHAnsi" w:cs="SourceSansPro-Regular"/>
          <w:color w:val="434343"/>
          <w:sz w:val="24"/>
          <w:szCs w:val="24"/>
        </w:rPr>
        <w:t>r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. pasient- og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brukerrettighetsloven § 3-1</w:t>
      </w:r>
    </w:p>
    <w:p w:rsidR="001A39EA" w:rsidRDefault="001A39EA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  <w:r w:rsidRPr="001D7314">
        <w:rPr>
          <w:rFonts w:asciiTheme="majorHAnsi" w:hAnsiTheme="majorHAnsi" w:cs="SourceSansPro-Bold"/>
          <w:b/>
          <w:bCs/>
          <w:color w:val="434343"/>
          <w:sz w:val="25"/>
          <w:szCs w:val="25"/>
        </w:rPr>
        <w:t>§ 4. Kriterier for tildeling av langtidsopphold i sykehjem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Hovedkriteriet er at langtidsopphold i sykehjem tildeles personer med behov for døgnkontinuerlig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oppfølging av medisinsk behandling, pleie og tilsyn som ikke krever sykehusinnleggelse, men hvor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hjelpebehovet er uforutsigbart og ikke kan tidfestes.</w:t>
      </w:r>
    </w:p>
    <w:p w:rsidR="001A39EA" w:rsidRDefault="001A39EA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Andre kriterier som skal vektlegges ved vurdering for tildeling er:</w:t>
      </w:r>
    </w:p>
    <w:p w:rsidR="001D7314" w:rsidRPr="00B70B64" w:rsidRDefault="001D7314" w:rsidP="00B70B64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B70B64">
        <w:rPr>
          <w:rFonts w:asciiTheme="majorHAnsi" w:hAnsiTheme="majorHAnsi" w:cs="SourceSansPro-Regular"/>
          <w:color w:val="434343"/>
          <w:sz w:val="24"/>
          <w:szCs w:val="24"/>
        </w:rPr>
        <w:t xml:space="preserve">Personer som har behov for langvarige </w:t>
      </w:r>
      <w:r w:rsidR="00A13A10" w:rsidRPr="00B70B64">
        <w:rPr>
          <w:rFonts w:asciiTheme="majorHAnsi" w:hAnsiTheme="majorHAnsi" w:cs="SourceSansPro-Regular"/>
          <w:color w:val="434343"/>
          <w:sz w:val="24"/>
          <w:szCs w:val="24"/>
        </w:rPr>
        <w:t xml:space="preserve">og omfattende </w:t>
      </w:r>
      <w:r w:rsidRPr="00B70B64">
        <w:rPr>
          <w:rFonts w:asciiTheme="majorHAnsi" w:hAnsiTheme="majorHAnsi" w:cs="SourceSansPro-Regular"/>
          <w:color w:val="434343"/>
          <w:sz w:val="24"/>
          <w:szCs w:val="24"/>
        </w:rPr>
        <w:t>helse- og omsorgstjenester gjennom hele døgnet, der</w:t>
      </w:r>
      <w:r w:rsidR="001A39EA" w:rsidRPr="00B70B64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B70B64">
        <w:rPr>
          <w:rFonts w:asciiTheme="majorHAnsi" w:hAnsiTheme="majorHAnsi" w:cs="SourceSansPro-Regular"/>
          <w:color w:val="434343"/>
          <w:sz w:val="24"/>
          <w:szCs w:val="24"/>
        </w:rPr>
        <w:t>andre aktuelle tjenester har vært forsøkt uten å dekke nødvendig og forsvarlig behov for</w:t>
      </w:r>
      <w:r w:rsidR="001A39EA" w:rsidRPr="00B70B64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B70B64">
        <w:rPr>
          <w:rFonts w:asciiTheme="majorHAnsi" w:hAnsiTheme="majorHAnsi" w:cs="SourceSansPro-Regular"/>
          <w:color w:val="434343"/>
          <w:sz w:val="24"/>
          <w:szCs w:val="24"/>
        </w:rPr>
        <w:t>helse- og omsorgstjeneste.</w:t>
      </w:r>
    </w:p>
    <w:p w:rsidR="001D7314" w:rsidRPr="00B70B64" w:rsidRDefault="001D7314" w:rsidP="00B70B64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B70B64">
        <w:rPr>
          <w:rFonts w:asciiTheme="majorHAnsi" w:hAnsiTheme="majorHAnsi" w:cs="SourceSansPro-Regular"/>
          <w:color w:val="434343"/>
          <w:sz w:val="24"/>
          <w:szCs w:val="24"/>
        </w:rPr>
        <w:t>Langtidsplass skal i hovedsak benyttes for personer over 67 år.</w:t>
      </w:r>
    </w:p>
    <w:p w:rsidR="001A39EA" w:rsidRPr="00B70B64" w:rsidRDefault="001D7314" w:rsidP="00B70B64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B70B64">
        <w:rPr>
          <w:rFonts w:asciiTheme="majorHAnsi" w:hAnsiTheme="majorHAnsi" w:cs="SourceSansPro-Regular"/>
          <w:color w:val="434343"/>
          <w:sz w:val="24"/>
          <w:szCs w:val="24"/>
        </w:rPr>
        <w:t xml:space="preserve">Personer med hjelpebehov der nødvendig kompetanse og utstyr for å sikre </w:t>
      </w:r>
    </w:p>
    <w:p w:rsidR="001D7314" w:rsidRPr="00B70B64" w:rsidRDefault="001D7314" w:rsidP="00B70B64">
      <w:pPr>
        <w:autoSpaceDE w:val="0"/>
        <w:autoSpaceDN w:val="0"/>
        <w:adjustRightInd w:val="0"/>
        <w:spacing w:after="0" w:line="240" w:lineRule="auto"/>
        <w:ind w:left="708" w:firstLine="360"/>
        <w:rPr>
          <w:rFonts w:asciiTheme="majorHAnsi" w:hAnsiTheme="majorHAnsi" w:cs="SourceSansPro-Regular"/>
          <w:color w:val="434343"/>
          <w:sz w:val="24"/>
          <w:szCs w:val="24"/>
        </w:rPr>
      </w:pPr>
      <w:r w:rsidRPr="00B70B64">
        <w:rPr>
          <w:rFonts w:asciiTheme="majorHAnsi" w:hAnsiTheme="majorHAnsi" w:cs="SourceSansPro-Regular"/>
          <w:color w:val="434343"/>
          <w:sz w:val="24"/>
          <w:szCs w:val="24"/>
        </w:rPr>
        <w:t>helseoppfølging</w:t>
      </w:r>
      <w:r w:rsidR="001A39EA" w:rsidRPr="00B70B64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B70B64">
        <w:rPr>
          <w:rFonts w:asciiTheme="majorHAnsi" w:hAnsiTheme="majorHAnsi" w:cs="SourceSansPro-Regular"/>
          <w:color w:val="434343"/>
          <w:sz w:val="24"/>
          <w:szCs w:val="24"/>
        </w:rPr>
        <w:t>og behandlinger kun kan gis i sykehjem.</w:t>
      </w:r>
    </w:p>
    <w:p w:rsidR="001D7314" w:rsidRPr="00B70B64" w:rsidRDefault="001D7314" w:rsidP="00B70B64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B70B64">
        <w:rPr>
          <w:rFonts w:asciiTheme="majorHAnsi" w:hAnsiTheme="majorHAnsi" w:cs="SourceSansPro-Regular"/>
          <w:color w:val="434343"/>
          <w:sz w:val="24"/>
          <w:szCs w:val="24"/>
        </w:rPr>
        <w:t>Personer i livets sluttfase med behov for tilsyn og omsorg gjennom hele døgnet.</w:t>
      </w:r>
    </w:p>
    <w:p w:rsidR="001A39EA" w:rsidRPr="00B70B64" w:rsidRDefault="001D7314" w:rsidP="00B70B64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B70B64">
        <w:rPr>
          <w:rFonts w:asciiTheme="majorHAnsi" w:hAnsiTheme="majorHAnsi" w:cs="SourceSansPro-Regular"/>
          <w:color w:val="434343"/>
          <w:sz w:val="24"/>
          <w:szCs w:val="24"/>
        </w:rPr>
        <w:t xml:space="preserve">Personer med langtkommen demenslidelse som har behov for kontinuerlig </w:t>
      </w:r>
    </w:p>
    <w:p w:rsidR="00B70B64" w:rsidRPr="00B70B64" w:rsidRDefault="001D7314" w:rsidP="00B70B64">
      <w:pPr>
        <w:autoSpaceDE w:val="0"/>
        <w:autoSpaceDN w:val="0"/>
        <w:adjustRightInd w:val="0"/>
        <w:spacing w:after="0" w:line="240" w:lineRule="auto"/>
        <w:ind w:left="708" w:firstLine="360"/>
        <w:rPr>
          <w:rFonts w:asciiTheme="majorHAnsi" w:hAnsiTheme="majorHAnsi" w:cs="SourceSansPro-Regular"/>
          <w:color w:val="434343"/>
          <w:sz w:val="24"/>
          <w:szCs w:val="24"/>
        </w:rPr>
      </w:pPr>
      <w:r w:rsidRPr="00B70B64">
        <w:rPr>
          <w:rFonts w:asciiTheme="majorHAnsi" w:hAnsiTheme="majorHAnsi" w:cs="SourceSansPro-Regular"/>
          <w:color w:val="434343"/>
          <w:sz w:val="24"/>
          <w:szCs w:val="24"/>
        </w:rPr>
        <w:t>oppfølgning,</w:t>
      </w:r>
      <w:r w:rsidR="001A39EA" w:rsidRPr="00B70B64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B70B64">
        <w:rPr>
          <w:rFonts w:asciiTheme="majorHAnsi" w:hAnsiTheme="majorHAnsi" w:cs="SourceSansPro-Regular"/>
          <w:color w:val="434343"/>
          <w:sz w:val="24"/>
          <w:szCs w:val="24"/>
        </w:rPr>
        <w:t>skjerming og omsorg gjennom hele døgnet.</w:t>
      </w:r>
      <w:r w:rsidR="001A39EA" w:rsidRPr="00B70B64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</w:p>
    <w:p w:rsidR="001D7314" w:rsidRPr="00B70B64" w:rsidRDefault="001D7314" w:rsidP="00B70B64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B70B64">
        <w:rPr>
          <w:rFonts w:asciiTheme="majorHAnsi" w:hAnsiTheme="majorHAnsi" w:cs="SourceSansPro-Regular"/>
          <w:color w:val="434343"/>
          <w:sz w:val="24"/>
          <w:szCs w:val="24"/>
        </w:rPr>
        <w:t>Personer som bor hjemme med behov for mer enn 25 timebaserte tjenester i hjemmet pr</w:t>
      </w:r>
      <w:r w:rsidR="00904101" w:rsidRPr="00B70B64">
        <w:rPr>
          <w:rFonts w:asciiTheme="majorHAnsi" w:hAnsiTheme="majorHAnsi" w:cs="SourceSansPro-Regular"/>
          <w:color w:val="434343"/>
          <w:sz w:val="24"/>
          <w:szCs w:val="24"/>
        </w:rPr>
        <w:t>.</w:t>
      </w:r>
      <w:r w:rsidRPr="00B70B64">
        <w:rPr>
          <w:rFonts w:asciiTheme="majorHAnsi" w:hAnsiTheme="majorHAnsi" w:cs="SourceSansPro-Regular"/>
          <w:color w:val="434343"/>
          <w:sz w:val="24"/>
          <w:szCs w:val="24"/>
        </w:rPr>
        <w:t xml:space="preserve"> uke, der</w:t>
      </w:r>
      <w:r w:rsidR="001A39EA" w:rsidRPr="00B70B64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B70B64">
        <w:rPr>
          <w:rFonts w:asciiTheme="majorHAnsi" w:hAnsiTheme="majorHAnsi" w:cs="SourceSansPro-Regular"/>
          <w:color w:val="434343"/>
          <w:sz w:val="24"/>
          <w:szCs w:val="24"/>
        </w:rPr>
        <w:t>behovet for tjenester kan tidfestes, kan vurderes for langtidsplass.</w:t>
      </w:r>
    </w:p>
    <w:p w:rsidR="001A39EA" w:rsidRPr="001D7314" w:rsidRDefault="001A39EA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  <w:r w:rsidRPr="001D7314">
        <w:rPr>
          <w:rFonts w:asciiTheme="majorHAnsi" w:hAnsiTheme="majorHAnsi" w:cs="SourceSansPro-Bold"/>
          <w:b/>
          <w:bCs/>
          <w:color w:val="434343"/>
          <w:sz w:val="25"/>
          <w:szCs w:val="25"/>
        </w:rPr>
        <w:t>§ 5. Søknad og vedtak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Tildeling av langtidsopphold skjer på bakgrunn av helseopplysninger, søknad og vurdering av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individuelle behov. På bakgrunn av dette fattes det enkeltvedtak. Søknadsskjema finnes på kommunens egen hjemmeside</w:t>
      </w:r>
      <w:r w:rsidR="00A13A10">
        <w:rPr>
          <w:rFonts w:asciiTheme="majorHAnsi" w:hAnsiTheme="majorHAnsi" w:cs="SourceSansPro-Regular"/>
          <w:color w:val="434343"/>
          <w:sz w:val="24"/>
          <w:szCs w:val="24"/>
        </w:rPr>
        <w:t>,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 og </w:t>
      </w:r>
      <w:r w:rsidR="00A13A10">
        <w:rPr>
          <w:rFonts w:asciiTheme="majorHAnsi" w:hAnsiTheme="majorHAnsi" w:cs="SourceSansPro-Regular"/>
          <w:color w:val="434343"/>
          <w:sz w:val="24"/>
          <w:szCs w:val="24"/>
        </w:rPr>
        <w:t>kan også utleveres fra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kommunale kontor.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Søknad sendes til 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>Inntaksteamet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, som behandler og vurderer søknad og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søkerens behov for tjenester.</w:t>
      </w:r>
    </w:p>
    <w:p w:rsidR="001A39EA" w:rsidRDefault="001A39EA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  <w:r w:rsidRPr="001D7314">
        <w:rPr>
          <w:rFonts w:asciiTheme="majorHAnsi" w:hAnsiTheme="majorHAnsi" w:cs="SourceSansPro-Bold"/>
          <w:b/>
          <w:bCs/>
          <w:color w:val="434343"/>
          <w:sz w:val="25"/>
          <w:szCs w:val="25"/>
        </w:rPr>
        <w:t>§ 6. Venteliste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Dersom søker fyller kriteriene for langtidsopphold, men kan få forsvarlige helse- og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omsorgstjenester i hjemmet i påvente av langtidsoppholdet, skal kommunen sette søker på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venteliste dersom det ikke er ledig plass. Ved ledig plass skal alle på ventelista vurderes av</w:t>
      </w:r>
    </w:p>
    <w:p w:rsidR="001D7314" w:rsidRDefault="001A39EA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>
        <w:rPr>
          <w:rFonts w:asciiTheme="majorHAnsi" w:hAnsiTheme="majorHAnsi" w:cs="SourceSansPro-Regular"/>
          <w:color w:val="434343"/>
          <w:sz w:val="24"/>
          <w:szCs w:val="24"/>
        </w:rPr>
        <w:t>Inntaksteamet</w:t>
      </w:r>
      <w:r w:rsidR="001D7314" w:rsidRPr="001D7314">
        <w:rPr>
          <w:rFonts w:asciiTheme="majorHAnsi" w:hAnsiTheme="majorHAnsi" w:cs="SourceSansPro-Regular"/>
          <w:color w:val="434343"/>
          <w:sz w:val="24"/>
          <w:szCs w:val="24"/>
        </w:rPr>
        <w:t>. Ved ledige plasser skal den med størst hjelpebehov ut fra kriteriene i § 4</w:t>
      </w:r>
      <w:r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="001D7314"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prioriteres. </w:t>
      </w:r>
      <w:r>
        <w:rPr>
          <w:rFonts w:asciiTheme="majorHAnsi" w:hAnsiTheme="majorHAnsi" w:cs="SourceSansPro-Regular"/>
          <w:color w:val="434343"/>
          <w:sz w:val="24"/>
          <w:szCs w:val="24"/>
        </w:rPr>
        <w:t>Inntaksteamet</w:t>
      </w:r>
      <w:r w:rsidR="001D7314"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 har ansvar for å holde oversikt over personer som venter, og å vurdere</w:t>
      </w:r>
      <w:r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="001D7314" w:rsidRPr="001D7314">
        <w:rPr>
          <w:rFonts w:asciiTheme="majorHAnsi" w:hAnsiTheme="majorHAnsi" w:cs="SourceSansPro-Regular"/>
          <w:color w:val="434343"/>
          <w:sz w:val="24"/>
          <w:szCs w:val="24"/>
        </w:rPr>
        <w:t>situasjonen jevnlig.</w:t>
      </w:r>
    </w:p>
    <w:p w:rsidR="001A39EA" w:rsidRPr="001D7314" w:rsidRDefault="001A39EA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  <w:r w:rsidRPr="001D7314">
        <w:rPr>
          <w:rFonts w:asciiTheme="majorHAnsi" w:hAnsiTheme="majorHAnsi" w:cs="SourceSansPro-Bold"/>
          <w:b/>
          <w:bCs/>
          <w:color w:val="434343"/>
          <w:sz w:val="25"/>
          <w:szCs w:val="25"/>
        </w:rPr>
        <w:t>§ 7. Tiltak i påvente av langtidsopphold i sykehjem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Personer med vedtak og som venter på langtidsopphold i sykehjem skal få andre nødvendige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tjenester for å sikre nødvendig og forsvarlig helsehjelp i ventetiden. Dette kan for eksempel være økt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hjemmesykepleie, hjemmehjelp, dag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>tilbud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, støttekontakt, korttidsopphold og/eller andre tjenester i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omsorgstrappa. Personer som mottar hovedomsorgen fra sine pårørende, skal få tilbud om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avlastende tiltak for særlig tyngende omsorgsoppgaver. 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>Tilbud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 ved dag- og aktivitetssenter 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(Furukroken)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skal også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vurderes.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Ved endring av helsetilstand i påvente av plass må det gjøres en ny vurdering.</w:t>
      </w:r>
    </w:p>
    <w:p w:rsidR="001A39EA" w:rsidRDefault="001A39EA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  <w:r w:rsidRPr="001D7314">
        <w:rPr>
          <w:rFonts w:asciiTheme="majorHAnsi" w:hAnsiTheme="majorHAnsi" w:cs="SourceSansPro-Bold"/>
          <w:b/>
          <w:bCs/>
          <w:color w:val="434343"/>
          <w:sz w:val="25"/>
          <w:szCs w:val="25"/>
        </w:rPr>
        <w:t>§ 8. Saksbehandlingstid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Kommunen skal forberede og avgjøre saken uten ugrunnet opphold.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Dersom det må ventes at det vil ta uforholdsmessig lang tid før en henvendelse kan besvares, skal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lastRenderedPageBreak/>
        <w:t>det snarest mulig gis et foreløpig svar. I svaret skal det gjøres rede for grunnen til at henvendelsen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ikke kan behandles tidligere, og såvidt mulig angis når svar kan ventes. Foreløpig svar kan unnlates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dersom det må anses som åpenbart unødvendig.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Det gis foreløpig svar dersom en henvendelse ikke kan besvares i løpet av en måned etter at den er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mottatt.</w:t>
      </w:r>
    </w:p>
    <w:p w:rsidR="001A39EA" w:rsidRDefault="001A39EA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  <w:r w:rsidRPr="001D7314">
        <w:rPr>
          <w:rFonts w:asciiTheme="majorHAnsi" w:hAnsiTheme="majorHAnsi" w:cs="SourceSansPro-Bold"/>
          <w:b/>
          <w:bCs/>
          <w:color w:val="434343"/>
          <w:sz w:val="25"/>
          <w:szCs w:val="25"/>
        </w:rPr>
        <w:t>§ 9. Egenandel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Kommunens be</w:t>
      </w:r>
      <w:r w:rsidR="00B70B64">
        <w:rPr>
          <w:rFonts w:asciiTheme="majorHAnsi" w:hAnsiTheme="majorHAnsi" w:cs="SourceSansPro-Regular"/>
          <w:color w:val="434343"/>
          <w:sz w:val="24"/>
          <w:szCs w:val="24"/>
        </w:rPr>
        <w:t>regning av egenandel følger av F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orskrift om egenandel for kommunale helse og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omsorgstjenester.</w:t>
      </w:r>
    </w:p>
    <w:p w:rsidR="001A39EA" w:rsidRDefault="001A39EA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  <w:r w:rsidRPr="001D7314">
        <w:rPr>
          <w:rFonts w:asciiTheme="majorHAnsi" w:hAnsiTheme="majorHAnsi" w:cs="SourceSansPro-Bold"/>
          <w:b/>
          <w:bCs/>
          <w:color w:val="434343"/>
          <w:sz w:val="25"/>
          <w:szCs w:val="25"/>
        </w:rPr>
        <w:t>§ 10. Klageadgang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Vedtak kan påklages til Fylkesmannen, jf. pasient- og brukerrettighetsloven § 7-2. En klage skal være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skriftlig, jf. pasient- og brukerrettighetsloven § 7-3. En eventuell klage fremsettes for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Inntaksteamet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 i </w:t>
      </w:r>
      <w:r w:rsidR="001A39EA">
        <w:rPr>
          <w:rFonts w:asciiTheme="majorHAnsi" w:hAnsiTheme="majorHAnsi" w:cs="Gautami"/>
          <w:color w:val="434343"/>
          <w:sz w:val="24"/>
          <w:szCs w:val="24"/>
        </w:rPr>
        <w:t>Dovre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 kommune, som tar saken til vurdering i første instans.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Dersom det ikke gis medhold skal 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>Inntaksteamet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 sende klagen uten ugrunnet opphold til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Fylkesmannen for endelig vurdering og avgjørelse.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Klagefrist er 4 uker, og skal fremgå av vedtaket jf pasient- og brukerrettighetsloven § 7-5. For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nærmere opplysninger, eller ved behov for hjelp til å fremsette en eventuell klage kan</w:t>
      </w:r>
      <w:r w:rsidR="001A39EA">
        <w:rPr>
          <w:rFonts w:asciiTheme="majorHAnsi" w:hAnsiTheme="majorHAnsi" w:cs="SourceSansPro-Regular"/>
          <w:color w:val="434343"/>
          <w:sz w:val="24"/>
          <w:szCs w:val="24"/>
        </w:rPr>
        <w:t xml:space="preserve"> Inntaksteamet</w:t>
      </w: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 xml:space="preserve"> bistå.</w:t>
      </w:r>
    </w:p>
    <w:p w:rsidR="001A39EA" w:rsidRDefault="001A39EA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Bold"/>
          <w:b/>
          <w:bCs/>
          <w:color w:val="434343"/>
          <w:sz w:val="25"/>
          <w:szCs w:val="25"/>
        </w:rPr>
      </w:pPr>
      <w:r w:rsidRPr="001D7314">
        <w:rPr>
          <w:rFonts w:asciiTheme="majorHAnsi" w:hAnsiTheme="majorHAnsi" w:cs="SourceSansPro-Bold"/>
          <w:b/>
          <w:bCs/>
          <w:color w:val="434343"/>
          <w:sz w:val="25"/>
          <w:szCs w:val="25"/>
        </w:rPr>
        <w:t>§ 11. Ikrafttredelse</w:t>
      </w:r>
    </w:p>
    <w:p w:rsidR="001D7314" w:rsidRPr="001D7314" w:rsidRDefault="001D7314" w:rsidP="001D73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ourceSansPro-Regular"/>
          <w:color w:val="434343"/>
          <w:sz w:val="24"/>
          <w:szCs w:val="24"/>
        </w:rPr>
      </w:pPr>
      <w:r w:rsidRPr="001D7314">
        <w:rPr>
          <w:rFonts w:asciiTheme="majorHAnsi" w:hAnsiTheme="majorHAnsi" w:cs="SourceSansPro-Regular"/>
          <w:color w:val="434343"/>
          <w:sz w:val="24"/>
          <w:szCs w:val="24"/>
        </w:rPr>
        <w:t>Denne forskriften trer i kraft fra</w:t>
      </w:r>
      <w:r w:rsidR="00B70B64">
        <w:rPr>
          <w:rFonts w:asciiTheme="majorHAnsi" w:hAnsiTheme="majorHAnsi" w:cs="SourceSansPro-Regular"/>
          <w:color w:val="434343"/>
          <w:sz w:val="24"/>
          <w:szCs w:val="24"/>
        </w:rPr>
        <w:t xml:space="preserve"> </w:t>
      </w:r>
      <w:r w:rsidR="001A39EA">
        <w:rPr>
          <w:rFonts w:asciiTheme="majorHAnsi" w:hAnsiTheme="majorHAnsi" w:cs="Gautami"/>
          <w:color w:val="434343"/>
          <w:sz w:val="24"/>
          <w:szCs w:val="24"/>
        </w:rPr>
        <w:t>01.07.2017.</w:t>
      </w:r>
    </w:p>
    <w:p w:rsidR="00462043" w:rsidRPr="001D7314" w:rsidRDefault="00D54A69">
      <w:pPr>
        <w:rPr>
          <w:rFonts w:asciiTheme="majorHAnsi" w:hAnsiTheme="majorHAnsi"/>
        </w:rPr>
      </w:pPr>
    </w:p>
    <w:sectPr w:rsidR="00462043" w:rsidRPr="001D7314" w:rsidSect="00B70B64">
      <w:pgSz w:w="12240" w:h="15840"/>
      <w:pgMar w:top="624" w:right="1418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urceSans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SourceSans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12E"/>
    <w:multiLevelType w:val="hybridMultilevel"/>
    <w:tmpl w:val="C3320450"/>
    <w:lvl w:ilvl="0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32CC04F9"/>
    <w:multiLevelType w:val="hybridMultilevel"/>
    <w:tmpl w:val="038ECB8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66D024E"/>
    <w:multiLevelType w:val="hybridMultilevel"/>
    <w:tmpl w:val="459E4D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B7BA8"/>
    <w:multiLevelType w:val="hybridMultilevel"/>
    <w:tmpl w:val="6B6A44D4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2B35DB4"/>
    <w:multiLevelType w:val="hybridMultilevel"/>
    <w:tmpl w:val="9E7802B8"/>
    <w:lvl w:ilvl="0" w:tplc="8E50FF9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FC4A37"/>
    <w:multiLevelType w:val="hybridMultilevel"/>
    <w:tmpl w:val="1C34511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4761868"/>
    <w:multiLevelType w:val="hybridMultilevel"/>
    <w:tmpl w:val="2BD86E9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CD87680">
      <w:start w:val="1"/>
      <w:numFmt w:val="upperLetter"/>
      <w:lvlText w:val="%2."/>
      <w:lvlJc w:val="left"/>
      <w:pPr>
        <w:ind w:left="1788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14"/>
    <w:rsid w:val="00094820"/>
    <w:rsid w:val="001A39EA"/>
    <w:rsid w:val="001D7314"/>
    <w:rsid w:val="004B133A"/>
    <w:rsid w:val="006071DB"/>
    <w:rsid w:val="00757DD5"/>
    <w:rsid w:val="00904101"/>
    <w:rsid w:val="00A13A10"/>
    <w:rsid w:val="00A5476D"/>
    <w:rsid w:val="00B6093E"/>
    <w:rsid w:val="00B70B64"/>
    <w:rsid w:val="00D5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D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D731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A3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D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D731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A3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5070</Characters>
  <Application>Microsoft Office Word</Application>
  <DocSecurity>4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Bergseth, Finn</dc:creator>
  <cp:lastModifiedBy>Nikolaisen, Stine Forseth</cp:lastModifiedBy>
  <cp:revision>2</cp:revision>
  <cp:lastPrinted>2017-02-27T07:46:00Z</cp:lastPrinted>
  <dcterms:created xsi:type="dcterms:W3CDTF">2017-04-06T07:51:00Z</dcterms:created>
  <dcterms:modified xsi:type="dcterms:W3CDTF">2017-04-06T07:51:00Z</dcterms:modified>
</cp:coreProperties>
</file>